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E29FE" w14:textId="5A42865A" w:rsidR="00A57AEC" w:rsidRPr="00395227" w:rsidRDefault="00395227" w:rsidP="00A57AEC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Poštovanim</w:t>
      </w:r>
      <w:r w:rsidR="00A57AEC" w:rsidRPr="0039522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predstavnicima</w:t>
      </w:r>
      <w:r w:rsidR="00A57AEC" w:rsidRPr="0039522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772E87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72E87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772E87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72E87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Hrvatske</w:t>
      </w:r>
      <w:r w:rsidR="00772E87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72E87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72E87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772E87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stranama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ugovornicama</w:t>
      </w:r>
      <w:r w:rsidR="00772E87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772E87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okvirnog</w:t>
      </w:r>
      <w:r w:rsidR="00772E87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772E87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72E87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</w:t>
      </w:r>
      <w:r w:rsidR="00772E87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72E87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Bosni</w:t>
      </w:r>
      <w:r w:rsidR="00772E87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72E87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Hercegovini</w:t>
      </w:r>
      <w:r w:rsidR="00772E87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772E87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14:paraId="10ADC78C" w14:textId="437BC845" w:rsidR="00A57AEC" w:rsidRPr="00395227" w:rsidRDefault="00395227" w:rsidP="00A57AEC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Uvaženim</w:t>
      </w:r>
      <w:r w:rsidR="00A57AEC" w:rsidRPr="0039522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predstavnicima</w:t>
      </w:r>
      <w:r w:rsidR="00A57AEC" w:rsidRPr="0039522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57A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Francuske</w:t>
      </w:r>
      <w:r w:rsidR="00A57A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Savezne</w:t>
      </w:r>
      <w:r w:rsidR="00A57A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57A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Njemačke</w:t>
      </w:r>
      <w:r w:rsidR="00A57A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Ruske</w:t>
      </w:r>
      <w:r w:rsidR="00A57A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Federacije</w:t>
      </w:r>
      <w:r w:rsidR="00A57A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Ujedinjenog</w:t>
      </w:r>
      <w:r w:rsidR="00A57A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Kraljevstva</w:t>
      </w:r>
      <w:r w:rsidR="00A57A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Velike</w:t>
      </w:r>
      <w:r w:rsidR="00A57A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Britanije</w:t>
      </w:r>
      <w:r w:rsidR="00A57A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7A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Sjeverne</w:t>
      </w:r>
      <w:r w:rsidR="00A57A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Irske</w:t>
      </w:r>
      <w:r w:rsidR="00A57A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7A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Sjedinjenih</w:t>
      </w:r>
      <w:r w:rsidR="00A57A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Američkih</w:t>
      </w:r>
      <w:r w:rsidR="00A57A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A57A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svjedocima</w:t>
      </w:r>
      <w:r w:rsidR="00A57A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A57A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okvirnog</w:t>
      </w:r>
      <w:r w:rsidR="00A57A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A57A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57A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</w:t>
      </w:r>
      <w:r w:rsidR="00A57A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7A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Bosni</w:t>
      </w:r>
      <w:r w:rsidR="00A57A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7A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Hercegovini</w:t>
      </w:r>
      <w:r w:rsidR="00A57A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svjedoci</w:t>
      </w:r>
      <w:r w:rsidR="00A57A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14:paraId="75CD0A44" w14:textId="13DAFDF6" w:rsidR="009C1366" w:rsidRPr="00395227" w:rsidRDefault="00395227" w:rsidP="009C136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Poštovanim</w:t>
      </w:r>
      <w:r w:rsidR="009C1366" w:rsidRPr="0039522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predstavnicima</w:t>
      </w:r>
      <w:r w:rsidR="009C1366" w:rsidRPr="0039522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Ruande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Italije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Albanije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Čile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Finske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Irske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Hašemitske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Kraljevine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Jordana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Kneževine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Lihtenštajn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Malezije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Kraljevine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Holandija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Zeland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Slovenija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Turska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Severna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Makedonija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Kanada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Austrija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Litvanija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Kraljevina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Švedska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Vanuatu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Veliko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Vojvodstvo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Luksemburg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Poljska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Estonija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zemlje</w:t>
      </w:r>
      <w:r w:rsidR="009C136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14:paraId="560FCCAF" w14:textId="0D563533" w:rsidR="00A57AEC" w:rsidRPr="00395227" w:rsidRDefault="00395227" w:rsidP="00A57AEC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svojstvu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ugovorne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okvirnog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Bosni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Hercegovini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Bečke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konvencije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međunarodnih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1969.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76B9F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Bečka</w:t>
      </w:r>
      <w:r w:rsidR="00676B9F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konvencija</w:t>
      </w:r>
      <w:r w:rsidR="00676B9F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Srpska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usvaja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372C4AB0" w14:textId="77777777" w:rsidR="00FA3342" w:rsidRPr="00395227" w:rsidRDefault="00FA3342" w:rsidP="00A57AEC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93A181B" w14:textId="7780B2D6" w:rsidR="00E701EE" w:rsidRPr="00395227" w:rsidRDefault="00395227" w:rsidP="0071732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PROTEST</w:t>
      </w:r>
      <w:r w:rsidR="000F201D" w:rsidRPr="0039522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PROTIV</w:t>
      </w:r>
      <w:r w:rsidR="000F201D" w:rsidRPr="0039522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KRŠENJA</w:t>
      </w:r>
      <w:r w:rsidR="000F201D" w:rsidRPr="0039522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OPŠTEG</w:t>
      </w:r>
      <w:r w:rsidR="000F201D" w:rsidRPr="0039522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OKVIRNOG</w:t>
      </w:r>
      <w:r w:rsidR="000F201D" w:rsidRPr="0039522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SPORAZUMA</w:t>
      </w:r>
      <w:r w:rsidR="000F201D" w:rsidRPr="0039522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0F201D" w:rsidRPr="0039522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MIR</w:t>
      </w:r>
      <w:r w:rsidR="000F201D" w:rsidRPr="0039522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0F201D" w:rsidRPr="0039522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BOSNI</w:t>
      </w:r>
      <w:r w:rsidR="000F201D" w:rsidRPr="0039522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F201D" w:rsidRPr="0039522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HERCEGOVINI</w:t>
      </w:r>
      <w:r w:rsidR="000F201D" w:rsidRPr="0039522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</w:p>
    <w:p w14:paraId="04BB994E" w14:textId="55A9BA49" w:rsidR="00804E6D" w:rsidRPr="00395227" w:rsidRDefault="00395227" w:rsidP="0071732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OPŠTEG</w:t>
      </w:r>
      <w:r w:rsidR="00E701EE" w:rsidRPr="0039522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MEĐUNARODNOG</w:t>
      </w:r>
      <w:r w:rsidR="00E701EE" w:rsidRPr="0039522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PRAVA</w:t>
      </w:r>
    </w:p>
    <w:p w14:paraId="2BF5027B" w14:textId="77777777" w:rsidR="007474B3" w:rsidRPr="00395227" w:rsidRDefault="007474B3" w:rsidP="000F201D">
      <w:pPr>
        <w:jc w:val="center"/>
        <w:rPr>
          <w:rFonts w:ascii="Times New Roman" w:hAnsi="Times New Roman" w:cs="Times New Roman"/>
          <w:b/>
          <w:noProof/>
          <w:sz w:val="24"/>
          <w:szCs w:val="24"/>
          <w:highlight w:val="green"/>
          <w:lang w:val="sr-Latn-CS"/>
        </w:rPr>
      </w:pPr>
    </w:p>
    <w:p w14:paraId="716CE48C" w14:textId="62A290EC" w:rsidR="00B474EC" w:rsidRPr="00395227" w:rsidRDefault="00395227" w:rsidP="00B474EC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0F201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0F201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F201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0F201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upućuje</w:t>
      </w:r>
      <w:r w:rsidR="000F201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formalni</w:t>
      </w:r>
      <w:r w:rsidR="000F201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protest</w:t>
      </w:r>
      <w:r w:rsidR="000F201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0F201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</w:t>
      </w:r>
      <w:r w:rsidR="000F201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F201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="000F201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preduzete</w:t>
      </w:r>
      <w:r w:rsidR="000F201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F201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0F201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neformalne</w:t>
      </w:r>
      <w:r w:rsidR="000F201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0F201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0F201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05945" w:rsidRPr="00395227">
        <w:rPr>
          <w:rFonts w:ascii="Times New Roman" w:hAnsi="Times New Roman" w:cs="Times New Roman"/>
          <w:noProof/>
          <w:sz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lang w:val="sr-Latn-CS"/>
        </w:rPr>
        <w:t>međuregionalnog</w:t>
      </w:r>
      <w:r w:rsidR="00C05945" w:rsidRPr="0039522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jezgra</w:t>
      </w:r>
      <w:r w:rsidR="00C05945" w:rsidRPr="00395227">
        <w:rPr>
          <w:rFonts w:ascii="Times New Roman" w:hAnsi="Times New Roman" w:cs="Times New Roman"/>
          <w:noProof/>
          <w:sz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lang w:val="sr-Latn-CS"/>
        </w:rPr>
        <w:t>koja</w:t>
      </w:r>
      <w:r w:rsidR="000F201D" w:rsidRPr="0039522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="000F201D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Generalnoj</w:t>
      </w:r>
      <w:r w:rsidR="000F201D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skupštini</w:t>
      </w:r>
      <w:r w:rsidR="000F201D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Ujedinjenih</w:t>
      </w:r>
      <w:r w:rsidR="000F201D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nacija</w:t>
      </w:r>
      <w:r w:rsidR="000F201D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dostavila</w:t>
      </w:r>
      <w:r w:rsidR="000F201D" w:rsidRPr="0039522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konačni</w:t>
      </w:r>
      <w:r w:rsidR="000F201D" w:rsidRPr="0039522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Nacrt</w:t>
      </w:r>
      <w:r w:rsidR="000F201D" w:rsidRPr="0039522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Rezolucije</w:t>
      </w:r>
      <w:r w:rsidR="000F201D" w:rsidRPr="0039522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UN</w:t>
      </w:r>
      <w:r w:rsidR="000F201D" w:rsidRPr="0039522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</w:t>
      </w:r>
      <w:r w:rsidR="000F201D" w:rsidRPr="0039522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genocidu</w:t>
      </w:r>
      <w:r w:rsidR="000F201D" w:rsidRPr="0039522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0F201D" w:rsidRPr="0039522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Srebrenici</w:t>
      </w:r>
      <w:r w:rsidR="000F201D" w:rsidRPr="0039522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D77463" w:rsidRPr="00395227">
        <w:rPr>
          <w:rFonts w:ascii="Times New Roman" w:hAnsi="Times New Roman" w:cs="Times New Roman"/>
          <w:noProof/>
          <w:sz w:val="24"/>
          <w:lang w:val="sr-Latn-CS"/>
        </w:rPr>
        <w:t>.</w:t>
      </w:r>
    </w:p>
    <w:p w14:paraId="7988D414" w14:textId="77777777" w:rsidR="00FA3342" w:rsidRPr="00395227" w:rsidRDefault="00FA3342" w:rsidP="00FA3342">
      <w:pPr>
        <w:pStyle w:val="ListParagraph"/>
        <w:spacing w:before="120" w:after="120" w:line="240" w:lineRule="auto"/>
        <w:jc w:val="both"/>
        <w:rPr>
          <w:rFonts w:ascii="Times New Roman" w:hAnsi="Times New Roman" w:cs="Times New Roman"/>
          <w:noProof/>
          <w:sz w:val="24"/>
          <w:highlight w:val="green"/>
          <w:lang w:val="sr-Latn-CS"/>
        </w:rPr>
      </w:pPr>
    </w:p>
    <w:p w14:paraId="113D01F9" w14:textId="0090CE31" w:rsidR="00FA3342" w:rsidRPr="00395227" w:rsidRDefault="00395227" w:rsidP="00FA3342">
      <w:pPr>
        <w:pStyle w:val="ListParagraph"/>
        <w:spacing w:before="120" w:after="12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Ovaj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formalni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protest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prvenstveno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odnosi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Republiku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Hrvatsku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Ugovornicu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kao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Saveznu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Republiku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Njemačku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Republiku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Francusku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Ujedinjeno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Kraljevstvo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Velike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Britanije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Sjeverne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Irske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Sjedinjene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Američke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Države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svjedoci</w:t>
      </w:r>
      <w:r w:rsidR="00FA3342" w:rsidRPr="00395227">
        <w:rPr>
          <w:rFonts w:ascii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lang w:val="sr-Latn-CS"/>
        </w:rPr>
        <w:t>kao</w:t>
      </w:r>
      <w:r w:rsidR="00FA3342" w:rsidRPr="0039522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</w:t>
      </w:r>
      <w:r w:rsidR="00FA3342" w:rsidRPr="0039522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druge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zemlje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koje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učestvovale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sponzorisanju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ili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sponzorisanju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Rezolucije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UN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genocidu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Srebrenici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procesu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suprotnosti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principima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opšteg</w:t>
      </w:r>
      <w:r w:rsidR="00C05945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međunarodnog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prava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FA3342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suprotnosti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Opštim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okvirnim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sporazumom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mir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Bosni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Hercegovini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njegovim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Aneksom</w:t>
      </w:r>
      <w:r w:rsidR="00FA3342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4.</w:t>
      </w:r>
    </w:p>
    <w:p w14:paraId="6C8166ED" w14:textId="77777777" w:rsidR="00B474EC" w:rsidRPr="00395227" w:rsidRDefault="00B474EC" w:rsidP="00B474EC">
      <w:pPr>
        <w:pStyle w:val="ListParagraph"/>
        <w:spacing w:before="120"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highlight w:val="green"/>
          <w:lang w:val="sr-Latn-CS"/>
        </w:rPr>
      </w:pPr>
    </w:p>
    <w:p w14:paraId="3B567827" w14:textId="0C94BA4B" w:rsidR="00C35319" w:rsidRPr="00395227" w:rsidRDefault="00395227" w:rsidP="00C3531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Predsjedništvo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nastojati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konsenzusom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Predsjedništvo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spoljne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B474E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F4C32ED" w14:textId="77777777" w:rsidR="00B348A4" w:rsidRPr="00395227" w:rsidRDefault="00B348A4" w:rsidP="00B348A4">
      <w:pPr>
        <w:pStyle w:val="ListParagraph"/>
        <w:spacing w:before="120"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highlight w:val="green"/>
          <w:lang w:val="sr-Latn-CS"/>
        </w:rPr>
      </w:pPr>
    </w:p>
    <w:p w14:paraId="294AA83C" w14:textId="11026061" w:rsidR="00FA3342" w:rsidRPr="00395227" w:rsidRDefault="00395227" w:rsidP="00B348A4">
      <w:pPr>
        <w:pStyle w:val="ListParagraph"/>
        <w:spacing w:before="120"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B348A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B348A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B348A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konačni</w:t>
      </w:r>
      <w:r w:rsidR="00B348A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</w:t>
      </w:r>
      <w:r w:rsidR="00B348A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Rezolucije</w:t>
      </w:r>
      <w:r w:rsidR="00B348A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</w:t>
      </w:r>
      <w:r w:rsidR="00B348A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348A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348A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genocidu</w:t>
      </w:r>
      <w:r w:rsidR="00B348A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8A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Srebrenici</w:t>
      </w:r>
      <w:r w:rsidR="00B348A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sačinjen</w:t>
      </w:r>
      <w:r w:rsidR="00B348A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8A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8A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dostavljen</w:t>
      </w:r>
      <w:r w:rsidR="00B348A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Generalnoj</w:t>
      </w:r>
      <w:r w:rsidR="00B348A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skupštini</w:t>
      </w:r>
      <w:r w:rsidR="00B348A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Ujedinjenih</w:t>
      </w:r>
      <w:r w:rsidR="00B348A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nacija</w:t>
      </w:r>
      <w:r w:rsidR="00B348A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B348A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učešća</w:t>
      </w:r>
      <w:r w:rsidR="00B348A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348A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B348A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Predsjedništva</w:t>
      </w:r>
      <w:r w:rsidR="006E311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6E311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E311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6E311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E311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6E311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ikakvog</w:t>
      </w:r>
      <w:r w:rsidR="006E311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koncenzusa</w:t>
      </w:r>
      <w:r w:rsidR="006E311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unutar</w:t>
      </w:r>
      <w:r w:rsidR="006E311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6E311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E311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B348A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024BC45" w14:textId="77777777" w:rsidR="00E701EE" w:rsidRPr="00395227" w:rsidRDefault="00E701EE" w:rsidP="00B348A4">
      <w:pPr>
        <w:pStyle w:val="ListParagraph"/>
        <w:spacing w:before="120"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highlight w:val="green"/>
          <w:lang w:val="sr-Latn-CS"/>
        </w:rPr>
      </w:pPr>
    </w:p>
    <w:p w14:paraId="0C577EEF" w14:textId="6BDDF773" w:rsidR="00C35319" w:rsidRPr="00395227" w:rsidRDefault="00395227" w:rsidP="00B348A4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okvirni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Bosni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Hercegovini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njegovi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aneksi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predstavljaju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regulisanja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tiče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mira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mira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multilateralnom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mirovnom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ugovoru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brojnim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zemljama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svjedocima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Dodatno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Savjet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bezbjednosti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Ujedinjenih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nacija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odigrao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ključnu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ulogu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internacionalizaciji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okvirnog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Bosni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Hercegovini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njegovom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uvođenju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korpus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676B9F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676B9F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676B9F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76B9F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676B9F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precedentne</w:t>
      </w:r>
      <w:r w:rsidR="00676B9F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Rezolucije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1031 (19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95),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formalno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podržala</w:t>
      </w:r>
      <w:r w:rsidR="00C0594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naknadnim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rezolucijama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aktivnom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uključivanju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njegovu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implementaciju</w:t>
      </w:r>
      <w:r w:rsidR="00C35319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3AD3E77" w14:textId="77777777" w:rsidR="00E701EE" w:rsidRPr="00395227" w:rsidRDefault="00E701EE" w:rsidP="00E701EE">
      <w:pPr>
        <w:pStyle w:val="ListParagraph"/>
        <w:spacing w:before="120"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highlight w:val="green"/>
          <w:lang w:val="sr-Latn-CS"/>
        </w:rPr>
      </w:pPr>
    </w:p>
    <w:p w14:paraId="78421213" w14:textId="4A6706AB" w:rsidR="00C05987" w:rsidRPr="00395227" w:rsidRDefault="00395227" w:rsidP="00C05987">
      <w:pPr>
        <w:pStyle w:val="ListParagraph"/>
        <w:spacing w:before="120"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Aneksom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okvirnog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Bosni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Hercegovini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uvodi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suštinski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reguliše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najosetljivije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svakom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mirovnom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sporazumu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podjela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postkonfliktnom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Uspostavljanjem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okvira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podjelu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služi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kamen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temeljac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mira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državnosti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Bosni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Hercegovini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čineći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nezaobilaznim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postizanje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cilja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svrhe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76B9F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76B9F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cjelini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takav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uvodi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međunarodnopravno</w:t>
      </w:r>
      <w:r w:rsidR="00676B9F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ograničenje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predstavljaju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Bosnu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Hercegovinu</w:t>
      </w:r>
      <w:r w:rsidR="00E701E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9BC619C" w14:textId="77777777" w:rsidR="00FA1ACE" w:rsidRPr="00395227" w:rsidRDefault="00FA1ACE" w:rsidP="00E701EE">
      <w:pPr>
        <w:pStyle w:val="ListParagraph"/>
        <w:spacing w:before="120"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highlight w:val="green"/>
          <w:lang w:val="sr-Latn-CS"/>
        </w:rPr>
      </w:pPr>
    </w:p>
    <w:p w14:paraId="6AF95724" w14:textId="22BFFD48" w:rsidR="0071732D" w:rsidRPr="00395227" w:rsidRDefault="00395227" w:rsidP="0071732D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="0071732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okvirni</w:t>
      </w:r>
      <w:r w:rsidR="0071732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71732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1732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</w:t>
      </w:r>
      <w:r w:rsidR="0071732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1732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Bosni</w:t>
      </w:r>
      <w:r w:rsidR="0071732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1732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Hercegovini</w:t>
      </w:r>
      <w:r w:rsidR="0071732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1732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="0071732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njegovi</w:t>
      </w:r>
      <w:r w:rsidR="0071732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aneksi</w:t>
      </w:r>
      <w:r w:rsidR="0071732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djeluju</w:t>
      </w:r>
      <w:r w:rsidR="0071732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76B9F" w:rsidRPr="0039522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erga omnes</w:t>
      </w:r>
      <w:r w:rsidR="0071732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Postupanje</w:t>
      </w:r>
      <w:r w:rsidR="0071732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71732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71732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71732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71732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povredu</w:t>
      </w:r>
      <w:r w:rsidR="0071732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71732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71732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1732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1732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1732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Hrvatske</w:t>
      </w:r>
      <w:r w:rsidR="00C05987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676B9F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76B9F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7E3C48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7E3C48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E3C48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E3C48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fiducijarnih</w:t>
      </w:r>
      <w:r w:rsidR="007E3C48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7E3C48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zemalja</w:t>
      </w:r>
      <w:r w:rsidR="007E3C48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svjedoka</w:t>
      </w:r>
      <w:r w:rsidR="007E3C48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E3C48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676B9F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76B9F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676B9F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676B9F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676B9F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ostalih</w:t>
      </w:r>
      <w:r w:rsidR="007E3C48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zemalja</w:t>
      </w:r>
      <w:r w:rsidR="007E3C48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A90E621" w14:textId="77777777" w:rsidR="003C03B4" w:rsidRPr="00395227" w:rsidRDefault="003C03B4" w:rsidP="003C03B4">
      <w:pPr>
        <w:pStyle w:val="ListParagraph"/>
        <w:spacing w:before="120"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highlight w:val="green"/>
          <w:lang w:val="sr-Latn-CS"/>
        </w:rPr>
      </w:pPr>
    </w:p>
    <w:p w14:paraId="23D9691D" w14:textId="46F24600" w:rsidR="003C03B4" w:rsidRPr="00395227" w:rsidRDefault="00676B9F" w:rsidP="0071732D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9522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Bona fides</w:t>
      </w:r>
      <w:r w:rsidR="00155076" w:rsidRPr="0039522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načelo</w:t>
      </w:r>
      <w:r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uvedeno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Bečke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konvencije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obavezuje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ugovorne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ispunjavaju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dobroj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veri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uzdržavaju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radnji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podrivaju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ugovorene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ciljeve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Hrvatska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poštovati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ustanovljenu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podjelu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Bosni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Hercegovini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Predsjedništva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Doktrina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nemogućnosti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primjeniti</w:t>
      </w:r>
      <w:r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konkretnom</w:t>
      </w:r>
      <w:r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15507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6A25161" w14:textId="77777777" w:rsidR="00744E24" w:rsidRPr="00395227" w:rsidRDefault="00744E24" w:rsidP="00744E24">
      <w:pPr>
        <w:pStyle w:val="ListParagraph"/>
        <w:spacing w:before="120"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highlight w:val="green"/>
          <w:lang w:val="sr-Latn-CS"/>
        </w:rPr>
      </w:pPr>
    </w:p>
    <w:p w14:paraId="7C18D9E4" w14:textId="51BBA871" w:rsidR="007A537C" w:rsidRPr="00395227" w:rsidRDefault="00395227" w:rsidP="007A537C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Zajedno</w:t>
      </w:r>
      <w:r w:rsidR="00744E2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44E2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obavezama</w:t>
      </w:r>
      <w:r w:rsidR="00744E2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44E2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proizilaze</w:t>
      </w:r>
      <w:r w:rsidR="00744E2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44E2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744E2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744E2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44E2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744E2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svjedoci</w:t>
      </w:r>
      <w:r w:rsidR="00744E2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krše</w:t>
      </w:r>
      <w:r w:rsidR="005D58E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744E2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fiducijarne</w:t>
      </w:r>
      <w:r w:rsidR="00744E2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744E2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744E2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narušavaju</w:t>
      </w:r>
      <w:r w:rsidR="00744E2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744E2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744E2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okvirnog</w:t>
      </w:r>
      <w:r w:rsidR="00744E2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744E2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44E2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</w:t>
      </w:r>
      <w:r w:rsidR="00744E2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44E2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Bosni</w:t>
      </w:r>
      <w:r w:rsidR="00744E2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44E2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Hercegovini</w:t>
      </w:r>
      <w:r w:rsidR="00744E24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06BEFFE" w14:textId="77777777" w:rsidR="007A537C" w:rsidRPr="00395227" w:rsidRDefault="007A537C" w:rsidP="007A537C">
      <w:pPr>
        <w:pStyle w:val="ListParagraph"/>
        <w:spacing w:before="120"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7E2E055" w14:textId="55B0A7F4" w:rsidR="007A537C" w:rsidRPr="00395227" w:rsidRDefault="00395227" w:rsidP="007A537C">
      <w:pPr>
        <w:pStyle w:val="ListParagraph"/>
        <w:spacing w:before="120"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nastojanjima</w:t>
      </w:r>
      <w:r w:rsidR="00676B9F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moralnog</w:t>
      </w:r>
      <w:r w:rsidR="00676B9F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76B9F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etički</w:t>
      </w:r>
      <w:r w:rsidR="00676B9F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prihvatljivog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ophođenja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principa</w:t>
      </w:r>
      <w:r w:rsidR="00676B9F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dobre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univerzalno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fiducijarni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principi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povjerenja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lojalnosti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Iako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principa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razlikovati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konteksta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zadržavaju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istovjetnu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suštinu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međunarodnom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svjedoci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ulozi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fiducijara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podržavaju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standarde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moralnog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etičkog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ophođenja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spriječavaju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sukobe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služe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interesima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nepristrasno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ikakve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diskriminacije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favorizovanja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svjedoci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ispunjavaju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svoju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fiducijarnu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sprječavaju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zloupotrebu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moći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promovišu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principe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dobrog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Najzad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najvažnija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svjedoka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podstiču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pomirenje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opisanim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krši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5C4D66C" w14:textId="77777777" w:rsidR="00642C2D" w:rsidRPr="00395227" w:rsidRDefault="00956465" w:rsidP="00491CCC">
      <w:pPr>
        <w:pStyle w:val="ListParagraph"/>
        <w:spacing w:before="120"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14:paraId="2B62DA42" w14:textId="3F388B38" w:rsidR="00A653AE" w:rsidRPr="00395227" w:rsidRDefault="00395227" w:rsidP="00804E6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Ostale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zemlje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653A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653A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A653A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opozvati</w:t>
      </w:r>
      <w:r w:rsidR="00A653A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pravilo</w:t>
      </w:r>
      <w:r w:rsidR="00A653A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56465" w:rsidRPr="0039522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pacta tertiis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653A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653A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Bečke</w:t>
      </w:r>
      <w:r w:rsidR="00A653A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konvencije</w:t>
      </w:r>
      <w:r w:rsidR="00A653A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A653A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A653A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izbjegle</w:t>
      </w:r>
      <w:r w:rsidR="00A653A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A653A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poštovanja</w:t>
      </w:r>
      <w:r w:rsidR="00A653A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odredbi</w:t>
      </w:r>
      <w:r w:rsidR="00A653A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A653A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okvirnog</w:t>
      </w:r>
      <w:r w:rsidR="00A653A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A653A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653A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</w:t>
      </w:r>
      <w:r w:rsidR="00A653A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653A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Bosni</w:t>
      </w:r>
      <w:r w:rsidR="00A653A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653A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Hercegovini</w:t>
      </w:r>
      <w:r w:rsidR="00A653AE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opštem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međunarodnom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princip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peremptornom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normom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teoriji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praksi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poznati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izuzeci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56465" w:rsidRPr="0039522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pacta tertiis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ostalih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uspostavljaju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plovne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puteve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Panamski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kanal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demilitarizuju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Alandskim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ostrvima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izuzeti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56465" w:rsidRPr="0039522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pacta tertiis.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Slično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uspostavljaju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zajedničke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režime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morske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kopnene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teritorije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Antarktiku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mirovni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okvirni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priznati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izuzeci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7A537C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A5BD478" w14:textId="77777777" w:rsidR="006D3456" w:rsidRPr="00395227" w:rsidRDefault="006D3456" w:rsidP="006D345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FF2C5CC" w14:textId="04E741F5" w:rsidR="006D3456" w:rsidRPr="00395227" w:rsidRDefault="00395227" w:rsidP="006D345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kontekstu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internacionalizovanog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mirovnog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procesa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prethodio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zaključivanju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okvirnog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Bosni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Hercegovini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bili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uključeni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različiti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univerzalni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regionalni</w:t>
      </w:r>
      <w:r w:rsidR="00956465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Kontakt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grupa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mirovne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konferencije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Ujedinjene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nacije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njeni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dobile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odgovarajuća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regulišu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76B9F" w:rsidRPr="0039522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erga omnes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dejstva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Navedeno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implicira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pretpostavka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djeluju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opštem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interesu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priznata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trećih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izuzev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onih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izričito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protivile</w:t>
      </w:r>
      <w:r w:rsidR="006D3456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F9B2AE2" w14:textId="77777777" w:rsidR="00A653AE" w:rsidRPr="00395227" w:rsidRDefault="00A653AE" w:rsidP="00A653AE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highlight w:val="green"/>
          <w:lang w:val="sr-Latn-CS"/>
        </w:rPr>
      </w:pPr>
    </w:p>
    <w:p w14:paraId="1EC8D8AD" w14:textId="617D8C9D" w:rsidR="00817CDA" w:rsidRPr="00395227" w:rsidRDefault="00395227" w:rsidP="00804E6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817CDA" w:rsidRPr="003952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817CDA" w:rsidRPr="003952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38.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Bečke</w:t>
      </w:r>
      <w:r w:rsidR="00817CDA" w:rsidRPr="003952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konvencije</w:t>
      </w:r>
      <w:r w:rsidR="00817CDA" w:rsidRPr="003952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proizilaze</w:t>
      </w:r>
      <w:r w:rsidR="00817CDA" w:rsidRPr="003952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817CDA" w:rsidRPr="003952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druge</w:t>
      </w:r>
      <w:r w:rsidR="001D6BF3" w:rsidRPr="003952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vrste</w:t>
      </w:r>
      <w:r w:rsidR="001D6BF3" w:rsidRPr="003952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međunarodnopravnih</w:t>
      </w:r>
      <w:r w:rsidR="001D6BF3" w:rsidRPr="003952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obaveza</w:t>
      </w:r>
      <w:r w:rsidR="00817CDA" w:rsidRPr="003952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Ugovornice</w:t>
      </w:r>
      <w:r w:rsidR="00817CDA" w:rsidRPr="00395227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817CDA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svjedoka</w:t>
      </w:r>
      <w:r w:rsidR="00817CDA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17CDA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ostalih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zemalja</w:t>
      </w:r>
      <w:r w:rsidR="00817CDA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A2D1DA5" w14:textId="77777777" w:rsidR="00817CDA" w:rsidRPr="00395227" w:rsidRDefault="00817CDA" w:rsidP="00817CD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highlight w:val="green"/>
          <w:lang w:val="sr-Latn-CS"/>
        </w:rPr>
      </w:pPr>
    </w:p>
    <w:p w14:paraId="4FD710A4" w14:textId="5E46CCD1" w:rsidR="00A653AE" w:rsidRPr="00395227" w:rsidRDefault="00395227" w:rsidP="00804E6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Svrha</w:t>
      </w:r>
      <w:r w:rsidR="005A076A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okvirnog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Bosni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Hercegovini</w:t>
      </w:r>
      <w:r w:rsidR="005A076A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="005A076A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narušena</w:t>
      </w:r>
      <w:r w:rsidR="005A076A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osporenim</w:t>
      </w:r>
      <w:r w:rsidR="001D6BF3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aktivnostima</w:t>
      </w:r>
      <w:r w:rsidR="005A076A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Ugovornice</w:t>
      </w:r>
      <w:r w:rsidR="005A076A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1D1D30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svjedoka</w:t>
      </w:r>
      <w:r w:rsidR="001D1D30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D1D30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ostalih</w:t>
      </w:r>
      <w:r w:rsidR="001D1D30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zemalja</w:t>
      </w:r>
      <w:r w:rsidR="001D1D30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što</w:t>
      </w:r>
      <w:r w:rsidR="001D6BF3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="00A653AE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proizvelo</w:t>
      </w:r>
      <w:r w:rsidR="00A653AE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konkretne</w:t>
      </w:r>
      <w:r w:rsidR="00A653AE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destabilizujuće</w:t>
      </w:r>
      <w:r w:rsidR="00A653AE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efekte</w:t>
      </w:r>
      <w:r w:rsidR="00A653AE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="00A653AE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regionalnu</w:t>
      </w:r>
      <w:r w:rsidR="00A653AE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bezbjednost</w:t>
      </w:r>
      <w:r w:rsidR="00A653AE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A653AE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delikatnu</w:t>
      </w:r>
      <w:r w:rsidR="00A653AE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ravnotežu</w:t>
      </w:r>
      <w:r w:rsidR="00A653AE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podjele</w:t>
      </w:r>
      <w:r w:rsidR="00A653AE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vlasti</w:t>
      </w:r>
      <w:r w:rsidR="00A653AE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</w:t>
      </w:r>
      <w:r w:rsidR="001D1D30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1D1D30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A076A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08A64B48" w14:textId="77777777" w:rsidR="00A653AE" w:rsidRPr="00395227" w:rsidRDefault="00A653AE" w:rsidP="00A653AE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highlight w:val="green"/>
          <w:lang w:val="sr-Latn-CS"/>
        </w:rPr>
      </w:pPr>
    </w:p>
    <w:p w14:paraId="6EA2CB9D" w14:textId="73280A0F" w:rsidR="00A653AE" w:rsidRPr="00395227" w:rsidRDefault="00395227" w:rsidP="00804E6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svjetlu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opisanih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teških</w:t>
      </w:r>
      <w:r w:rsidR="000E49A0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kršenja</w:t>
      </w:r>
      <w:r w:rsidR="000E49A0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0E49A0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Srpska</w:t>
      </w:r>
      <w:r w:rsidR="000E49A0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zahtjeva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hitnu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obustavu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radnji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vraćanje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relevantne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međunarodnopravne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okvire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poštovanju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1D6BF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tražimo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svjedoci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zemlje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daju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zvaničan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obrazloženjem</w:t>
      </w:r>
      <w:r w:rsidR="000E49A0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preduzete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situacija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ispravi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0E49A0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E49A0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E49A0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spriječe</w:t>
      </w:r>
      <w:r w:rsidR="000E49A0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buduća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kršenja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66A4AA8" w14:textId="77777777" w:rsidR="00A653AE" w:rsidRPr="00395227" w:rsidRDefault="00A653AE" w:rsidP="00A653AE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highlight w:val="green"/>
          <w:lang w:val="sr-Latn-CS"/>
        </w:rPr>
      </w:pPr>
    </w:p>
    <w:p w14:paraId="66BEFC59" w14:textId="23A3FC44" w:rsidR="006D3456" w:rsidRPr="00395227" w:rsidRDefault="00395227" w:rsidP="00804E6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Nepostupanje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protestnoj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noti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nepreduzimanje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korektivnih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radnji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izuzeće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Srpsku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prakse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zaobilaženja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Predsjedništva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kakvog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efekta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Rezolucije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1D1D30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genocidu</w:t>
      </w:r>
      <w:r w:rsidR="001D1D30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1D1D30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Srebrenici</w:t>
      </w:r>
      <w:r w:rsidR="001D1D30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47E3E322" w14:textId="77777777" w:rsidR="006D3456" w:rsidRPr="00395227" w:rsidRDefault="006D3456" w:rsidP="006D345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14:paraId="0C8D7269" w14:textId="318DC114" w:rsidR="00A653AE" w:rsidRPr="00395227" w:rsidRDefault="00395227" w:rsidP="006D345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Takođe</w:t>
      </w:r>
      <w:r w:rsidR="001D1D30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neuspjeh</w:t>
      </w:r>
      <w:r w:rsidR="001D1D30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1D1D30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rješavanju</w:t>
      </w:r>
      <w:r w:rsidR="001D1D30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ove</w:t>
      </w:r>
      <w:r w:rsidR="001D1D30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protestne</w:t>
      </w:r>
      <w:r w:rsidR="001D1D30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note</w:t>
      </w:r>
      <w:r w:rsidR="001D1D30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474B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dovesti</w:t>
      </w:r>
      <w:r w:rsidR="007474B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="007474B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Srpsku</w:t>
      </w:r>
      <w:r w:rsidR="007474B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E49A0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situaciju</w:t>
      </w:r>
      <w:r w:rsidR="000E49A0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474B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traži</w:t>
      </w:r>
      <w:r w:rsidR="007474B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="007474B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7474B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međunarodnopravnih</w:t>
      </w:r>
      <w:r w:rsidR="007474B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mehanizama</w:t>
      </w:r>
      <w:r w:rsidR="007474B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474B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mirno</w:t>
      </w:r>
      <w:r w:rsidR="000E49A0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rješavanje</w:t>
      </w:r>
      <w:r w:rsidR="007474B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sporova</w:t>
      </w:r>
      <w:r w:rsidR="007474B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7474B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7474B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474B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ograničavajući</w:t>
      </w:r>
      <w:r w:rsidR="007474B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474B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474B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arbitražu</w:t>
      </w:r>
      <w:r w:rsidR="007474B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7474B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parnice</w:t>
      </w:r>
      <w:r w:rsidR="007474B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suspenziju</w:t>
      </w:r>
      <w:r w:rsidR="007474B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474B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poništenje</w:t>
      </w:r>
      <w:r w:rsidR="007474B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7474B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samoopredjeljenje</w:t>
      </w:r>
      <w:r w:rsidR="007474B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itd</w:t>
      </w:r>
      <w:r w:rsidR="007474B3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96ADE91" w14:textId="77777777" w:rsidR="00A653AE" w:rsidRPr="00395227" w:rsidRDefault="00A653AE" w:rsidP="00A653AE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14:paraId="03E931E7" w14:textId="7A0F936D" w:rsidR="00804E6D" w:rsidRPr="00395227" w:rsidRDefault="00395227" w:rsidP="00804E6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Verujemo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svjedoci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zemlje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odnositi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pitanju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ozbiljnošću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zaslužuje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brzo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djelovati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podržali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principe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804E6D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42C1A80" w14:textId="77777777" w:rsidR="00495251" w:rsidRPr="00395227" w:rsidRDefault="00495251" w:rsidP="00495251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14:paraId="4B016116" w14:textId="053BCDE4" w:rsidR="00736F2F" w:rsidRPr="00395227" w:rsidRDefault="00395227" w:rsidP="00804E6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495251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495251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E49A0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0E49A0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="000E49A0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protestnu</w:t>
      </w:r>
      <w:r w:rsidR="000E49A0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notu</w:t>
      </w:r>
      <w:r w:rsidR="000E49A0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proslijeđuje</w:t>
      </w:r>
      <w:r w:rsidR="00495251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srpskoj</w:t>
      </w:r>
      <w:r w:rsidR="00495251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članici</w:t>
      </w:r>
      <w:r w:rsidR="00495251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Predsjedništva</w:t>
      </w:r>
      <w:r w:rsidR="00495251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495251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95251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495251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Željki</w:t>
      </w:r>
      <w:r w:rsidR="00495251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Cvijanović</w:t>
      </w:r>
      <w:r w:rsidR="00495251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95251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znanje</w:t>
      </w:r>
      <w:r w:rsidR="00495251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95251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</w:t>
      </w:r>
      <w:r w:rsidR="000E49A0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postupanje</w:t>
      </w:r>
      <w:r w:rsidR="00495251" w:rsidRPr="0039522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2A524EF" w14:textId="77777777" w:rsidR="00F6616C" w:rsidRPr="00395227" w:rsidRDefault="00F6616C" w:rsidP="00F661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3C3A503" w14:textId="77777777" w:rsidR="00F6616C" w:rsidRPr="00395227" w:rsidRDefault="00F6616C" w:rsidP="00F661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A0996E4" w14:textId="53382DA0" w:rsidR="003F6518" w:rsidRPr="00395227" w:rsidRDefault="00395227" w:rsidP="003F6518">
      <w:pPr>
        <w:pStyle w:val="NoSpacing"/>
        <w:tabs>
          <w:tab w:val="left" w:pos="6393"/>
        </w:tabs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Broj</w:t>
      </w:r>
      <w:r w:rsidR="003F6518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 02/1-021-</w:t>
      </w:r>
      <w:r w:rsidR="003E695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562</w:t>
      </w:r>
      <w:r w:rsidR="003F6518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/24</w:t>
      </w:r>
      <w:r w:rsidR="003F6518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        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PREDSJEDNIK</w:t>
      </w:r>
    </w:p>
    <w:p w14:paraId="0CEE8C43" w14:textId="1EC1B27E" w:rsidR="003F6518" w:rsidRPr="00395227" w:rsidRDefault="00395227" w:rsidP="003F6518">
      <w:pPr>
        <w:pStyle w:val="NoSpacing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Datum</w:t>
      </w:r>
      <w:r w:rsidR="003F6518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: 22.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maj</w:t>
      </w:r>
      <w:r w:rsidR="003F6518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2024.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godine</w:t>
      </w:r>
      <w:r w:rsidR="003F6518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3F6518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           </w:t>
      </w:r>
      <w:r w:rsidR="003F6518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 </w:t>
      </w:r>
      <w:r w:rsidR="003F6518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                      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NARODNE</w:t>
      </w:r>
      <w:r w:rsidR="003F6518"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SKUPŠTINE</w:t>
      </w:r>
    </w:p>
    <w:p w14:paraId="36879B3D" w14:textId="77777777" w:rsidR="003F6518" w:rsidRPr="00395227" w:rsidRDefault="003F6518" w:rsidP="003F6518">
      <w:pPr>
        <w:pStyle w:val="NoSpacing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 </w:t>
      </w:r>
      <w:r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           </w:t>
      </w:r>
    </w:p>
    <w:p w14:paraId="0B5B5625" w14:textId="66F34316" w:rsidR="003F6518" w:rsidRPr="00395227" w:rsidRDefault="003F6518" w:rsidP="003F6518">
      <w:pPr>
        <w:pStyle w:val="NoSpacing"/>
        <w:ind w:left="5760" w:firstLine="72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   </w:t>
      </w:r>
      <w:r w:rsid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</w:t>
      </w:r>
      <w:r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Nenad</w:t>
      </w:r>
      <w:r w:rsidRP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9522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Stevandić</w:t>
      </w:r>
    </w:p>
    <w:p w14:paraId="5AC9748D" w14:textId="6E0251D0" w:rsidR="00F6616C" w:rsidRPr="00395227" w:rsidRDefault="00F6616C" w:rsidP="003F6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F6616C" w:rsidRPr="0039522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12D99" w14:textId="77777777" w:rsidR="00151FB7" w:rsidRDefault="00151FB7" w:rsidP="005B1C71">
      <w:pPr>
        <w:spacing w:after="0" w:line="240" w:lineRule="auto"/>
      </w:pPr>
      <w:r>
        <w:separator/>
      </w:r>
    </w:p>
  </w:endnote>
  <w:endnote w:type="continuationSeparator" w:id="0">
    <w:p w14:paraId="16AC3A25" w14:textId="77777777" w:rsidR="00151FB7" w:rsidRDefault="00151FB7" w:rsidP="005B1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F28C8" w14:textId="77777777" w:rsidR="00151FB7" w:rsidRDefault="00151FB7" w:rsidP="005B1C71">
      <w:pPr>
        <w:spacing w:after="0" w:line="240" w:lineRule="auto"/>
      </w:pPr>
      <w:r>
        <w:separator/>
      </w:r>
    </w:p>
  </w:footnote>
  <w:footnote w:type="continuationSeparator" w:id="0">
    <w:p w14:paraId="383C53E2" w14:textId="77777777" w:rsidR="00151FB7" w:rsidRDefault="00151FB7" w:rsidP="005B1C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5739BC"/>
    <w:multiLevelType w:val="hybridMultilevel"/>
    <w:tmpl w:val="74C2B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3471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E6D"/>
    <w:rsid w:val="00025459"/>
    <w:rsid w:val="00051F30"/>
    <w:rsid w:val="00071524"/>
    <w:rsid w:val="000B5692"/>
    <w:rsid w:val="000C6120"/>
    <w:rsid w:val="000D3220"/>
    <w:rsid w:val="000E49A0"/>
    <w:rsid w:val="000F201D"/>
    <w:rsid w:val="00135EB4"/>
    <w:rsid w:val="00151FB7"/>
    <w:rsid w:val="00155076"/>
    <w:rsid w:val="001838DE"/>
    <w:rsid w:val="001D1D30"/>
    <w:rsid w:val="001D6BF3"/>
    <w:rsid w:val="001F3709"/>
    <w:rsid w:val="0025115C"/>
    <w:rsid w:val="00262F71"/>
    <w:rsid w:val="0031604C"/>
    <w:rsid w:val="00395227"/>
    <w:rsid w:val="003B56F7"/>
    <w:rsid w:val="003C03B4"/>
    <w:rsid w:val="003E6957"/>
    <w:rsid w:val="003F6518"/>
    <w:rsid w:val="0043457E"/>
    <w:rsid w:val="004427BF"/>
    <w:rsid w:val="00491CCC"/>
    <w:rsid w:val="00495251"/>
    <w:rsid w:val="004B0ECB"/>
    <w:rsid w:val="00541746"/>
    <w:rsid w:val="00592441"/>
    <w:rsid w:val="005A076A"/>
    <w:rsid w:val="005B1C71"/>
    <w:rsid w:val="005D58E4"/>
    <w:rsid w:val="005E40D6"/>
    <w:rsid w:val="00642C2D"/>
    <w:rsid w:val="00647196"/>
    <w:rsid w:val="00676B9F"/>
    <w:rsid w:val="006D3456"/>
    <w:rsid w:val="006E3115"/>
    <w:rsid w:val="0071732D"/>
    <w:rsid w:val="00736F2F"/>
    <w:rsid w:val="00744E24"/>
    <w:rsid w:val="00746432"/>
    <w:rsid w:val="007474B3"/>
    <w:rsid w:val="00772E87"/>
    <w:rsid w:val="007A537C"/>
    <w:rsid w:val="007E3C48"/>
    <w:rsid w:val="008001CF"/>
    <w:rsid w:val="00804E6D"/>
    <w:rsid w:val="00817CDA"/>
    <w:rsid w:val="0084186E"/>
    <w:rsid w:val="0085609C"/>
    <w:rsid w:val="00956465"/>
    <w:rsid w:val="00975B68"/>
    <w:rsid w:val="009C1366"/>
    <w:rsid w:val="00A15AB7"/>
    <w:rsid w:val="00A50881"/>
    <w:rsid w:val="00A57AEC"/>
    <w:rsid w:val="00A653AE"/>
    <w:rsid w:val="00A65696"/>
    <w:rsid w:val="00A813F5"/>
    <w:rsid w:val="00A92DA0"/>
    <w:rsid w:val="00AF1999"/>
    <w:rsid w:val="00B059D5"/>
    <w:rsid w:val="00B348A4"/>
    <w:rsid w:val="00B474EC"/>
    <w:rsid w:val="00B67A14"/>
    <w:rsid w:val="00C05945"/>
    <w:rsid w:val="00C05987"/>
    <w:rsid w:val="00C23D46"/>
    <w:rsid w:val="00C35319"/>
    <w:rsid w:val="00D268A9"/>
    <w:rsid w:val="00D77463"/>
    <w:rsid w:val="00D96E3E"/>
    <w:rsid w:val="00DD1DDB"/>
    <w:rsid w:val="00DE3A2B"/>
    <w:rsid w:val="00E06EB1"/>
    <w:rsid w:val="00E239C3"/>
    <w:rsid w:val="00E701EE"/>
    <w:rsid w:val="00E902E6"/>
    <w:rsid w:val="00F219CE"/>
    <w:rsid w:val="00F6616C"/>
    <w:rsid w:val="00FA1ACE"/>
    <w:rsid w:val="00FA3342"/>
    <w:rsid w:val="00FB4762"/>
    <w:rsid w:val="00FE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CE7E6A"/>
  <w15:chartTrackingRefBased/>
  <w15:docId w15:val="{AF6743F1-3853-4E78-880A-17E716BCE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0F201D"/>
    <w:rPr>
      <w:i/>
      <w:iCs/>
    </w:rPr>
  </w:style>
  <w:style w:type="character" w:styleId="Strong">
    <w:name w:val="Strong"/>
    <w:basedOn w:val="DefaultParagraphFont"/>
    <w:uiPriority w:val="22"/>
    <w:qFormat/>
    <w:rsid w:val="000F201D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1C7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1C71"/>
    <w:rPr>
      <w:sz w:val="20"/>
      <w:szCs w:val="20"/>
      <w:lang w:val="sr"/>
    </w:rPr>
  </w:style>
  <w:style w:type="character" w:styleId="FootnoteReference">
    <w:name w:val="footnote reference"/>
    <w:basedOn w:val="DefaultParagraphFont"/>
    <w:uiPriority w:val="99"/>
    <w:semiHidden/>
    <w:unhideWhenUsed/>
    <w:rsid w:val="005B1C71"/>
    <w:rPr>
      <w:vertAlign w:val="superscript"/>
    </w:rPr>
  </w:style>
  <w:style w:type="paragraph" w:styleId="ListParagraph">
    <w:name w:val="List Paragraph"/>
    <w:basedOn w:val="Normal"/>
    <w:uiPriority w:val="34"/>
    <w:qFormat/>
    <w:rsid w:val="00D77463"/>
    <w:pPr>
      <w:ind w:left="720"/>
      <w:contextualSpacing/>
    </w:pPr>
  </w:style>
  <w:style w:type="paragraph" w:styleId="NoSpacing">
    <w:name w:val="No Spacing"/>
    <w:uiPriority w:val="1"/>
    <w:qFormat/>
    <w:rsid w:val="003F651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071D0-CFC2-4EF3-8E71-96C7A498F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1329</Words>
  <Characters>7577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Nada Bozic</cp:lastModifiedBy>
  <cp:revision>3</cp:revision>
  <cp:lastPrinted>2024-05-22T12:18:00Z</cp:lastPrinted>
  <dcterms:created xsi:type="dcterms:W3CDTF">2024-05-22T12:18:00Z</dcterms:created>
  <dcterms:modified xsi:type="dcterms:W3CDTF">2024-05-22T15:17:00Z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c5420847-3c16-401c-9f9a-1f741dede41f</vt:lpwstr>
  </property>
</Properties>
</file>